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438" w:rsidRPr="00B64592" w:rsidRDefault="00B64592" w:rsidP="00B64592">
      <w:pPr>
        <w:jc w:val="right"/>
        <w:rPr>
          <w:b/>
          <w:color w:val="0070C0"/>
        </w:rPr>
      </w:pPr>
      <w:r w:rsidRPr="00B64592">
        <w:rPr>
          <w:b/>
          <w:color w:val="0070C0"/>
        </w:rPr>
        <w:t>ANEXA 12</w:t>
      </w:r>
    </w:p>
    <w:p w:rsidR="00961438" w:rsidRDefault="00093E54" w:rsidP="00466EB4">
      <w:pPr>
        <w:jc w:val="center"/>
        <w:rPr>
          <w:b/>
          <w:i/>
          <w:color w:val="0070C0"/>
        </w:rPr>
      </w:pPr>
      <w:r w:rsidRPr="00093E54">
        <w:rPr>
          <w:b/>
          <w:i/>
          <w:color w:val="0070C0"/>
        </w:rPr>
        <w:t>Lista domeniilor și a subdomeniilor de specializare inteligentă sprijinite</w:t>
      </w:r>
    </w:p>
    <w:p w:rsidR="00093E54" w:rsidRDefault="00093E54" w:rsidP="00466EB4">
      <w:pPr>
        <w:jc w:val="center"/>
        <w:rPr>
          <w:b/>
          <w:i/>
          <w:color w:val="0070C0"/>
        </w:rPr>
      </w:pPr>
    </w:p>
    <w:p w:rsidR="00093E54" w:rsidRDefault="00093E54" w:rsidP="00466EB4">
      <w:pPr>
        <w:rPr>
          <w:color w:val="0070C0"/>
        </w:rPr>
      </w:pPr>
      <w:r>
        <w:rPr>
          <w:color w:val="0070C0"/>
        </w:rPr>
        <w:t xml:space="preserve">În conformitate cu prevederile </w:t>
      </w:r>
      <w:r w:rsidRPr="00B2391B">
        <w:rPr>
          <w:i/>
          <w:color w:val="0070C0"/>
        </w:rPr>
        <w:t>HG nr. 933/2022 privind aprobarea S</w:t>
      </w:r>
      <w:r w:rsidRPr="00093E54">
        <w:rPr>
          <w:i/>
          <w:color w:val="0070C0"/>
        </w:rPr>
        <w:t>trategiei naționale de cercetare, inovare și specializare inteligentă 2022-2027</w:t>
      </w:r>
      <w:r w:rsidR="0026092D">
        <w:rPr>
          <w:color w:val="0070C0"/>
        </w:rPr>
        <w:t xml:space="preserve"> și luând</w:t>
      </w:r>
      <w:r w:rsidR="00B2391B">
        <w:rPr>
          <w:color w:val="0070C0"/>
        </w:rPr>
        <w:t xml:space="preserve"> în considerare </w:t>
      </w:r>
      <w:r w:rsidR="00B2391B" w:rsidRPr="00B2391B">
        <w:rPr>
          <w:i/>
          <w:color w:val="0070C0"/>
        </w:rPr>
        <w:t>Decizia Comisiei Europene nr.9445/09.12.2022</w:t>
      </w:r>
      <w:r w:rsidR="0026092D" w:rsidRPr="00B2391B">
        <w:rPr>
          <w:i/>
          <w:color w:val="0070C0"/>
        </w:rPr>
        <w:t xml:space="preserve"> de aprobare a Programului Creștere Inteligentă, Digitalizare și Instrumente Financiare 2021-2027 (POCIDIF)</w:t>
      </w:r>
      <w:r w:rsidR="00B2391B" w:rsidRPr="00B2391B">
        <w:rPr>
          <w:i/>
        </w:rPr>
        <w:t xml:space="preserve"> </w:t>
      </w:r>
      <w:r w:rsidR="00B2391B" w:rsidRPr="00B2391B">
        <w:rPr>
          <w:i/>
          <w:color w:val="0070C0"/>
        </w:rPr>
        <w:t>pentru sprijin din partea Fondului european de dezvoltare regională în cadrul obiectivului „Investiții pentru ocuparea forței de muncă și creștere economică” din România</w:t>
      </w:r>
      <w:r w:rsidR="00B2391B" w:rsidRPr="00B2391B">
        <w:rPr>
          <w:color w:val="0070C0"/>
        </w:rPr>
        <w:t>,</w:t>
      </w:r>
      <w:r w:rsidR="00B2391B">
        <w:rPr>
          <w:color w:val="0070C0"/>
        </w:rPr>
        <w:t xml:space="preserve"> următoarele domenii și subdomenii de specializare inteligentă sunt sprijinite în cadrul prezentului apel: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 Bioeconomie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1.1 Tehnologii pentru economia albastră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tehnologiile inovative pentru creșterea sustenabilității și valorificarea superioară a resurselor</w:t>
      </w:r>
      <w:r>
        <w:rPr>
          <w:color w:val="0070C0"/>
        </w:rPr>
        <w:t xml:space="preserve"> </w:t>
      </w:r>
      <w:r w:rsidRPr="000B05C2">
        <w:rPr>
          <w:color w:val="0070C0"/>
        </w:rPr>
        <w:t>marine - minerale, energetice neconvenționale, biologice.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1.2 Ameliorarea semințelor și raselor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Crearea de soiuri/varietăți/hibrizi/ideotipuri de plante și rase de animale mai bine adaptate la noile</w:t>
      </w:r>
      <w:r>
        <w:rPr>
          <w:color w:val="0070C0"/>
        </w:rPr>
        <w:t xml:space="preserve"> </w:t>
      </w:r>
      <w:r w:rsidRPr="000B05C2">
        <w:rPr>
          <w:color w:val="0070C0"/>
        </w:rPr>
        <w:t>provocări din agricultură și silvicultură, precum schimbările climatice, factorii de stres biotici și abiotici</w:t>
      </w:r>
      <w:r>
        <w:rPr>
          <w:color w:val="0070C0"/>
        </w:rPr>
        <w:t xml:space="preserve"> </w:t>
      </w:r>
      <w:r w:rsidRPr="000B05C2">
        <w:rPr>
          <w:color w:val="0070C0"/>
        </w:rPr>
        <w:t>existenți, nevoia de hrană sănătoasă și în volume tot mai mari și de un mediu sănătos. Include și</w:t>
      </w:r>
      <w:r>
        <w:rPr>
          <w:color w:val="0070C0"/>
        </w:rPr>
        <w:t xml:space="preserve"> </w:t>
      </w:r>
      <w:r w:rsidRPr="000B05C2">
        <w:rPr>
          <w:color w:val="0070C0"/>
        </w:rPr>
        <w:t>producerea de puieți forestieri genetic ameliorați, rezistenți la secetă, la boli și dăunători, adaptați la</w:t>
      </w:r>
      <w:r>
        <w:rPr>
          <w:color w:val="0070C0"/>
        </w:rPr>
        <w:t xml:space="preserve"> </w:t>
      </w:r>
      <w:r w:rsidRPr="000B05C2">
        <w:rPr>
          <w:color w:val="0070C0"/>
        </w:rPr>
        <w:t>condiții extreme și utilizați în reconstrucția ecologică.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1.3 Tehnologii pentru agricultura ecologică, agroecologie și silvicultură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Agricultura ecologică este un sistem de producție agricol durabil, ce susține sănătatea solului, a</w:t>
      </w:r>
      <w:r>
        <w:rPr>
          <w:color w:val="0070C0"/>
        </w:rPr>
        <w:t xml:space="preserve"> </w:t>
      </w:r>
      <w:r w:rsidRPr="000B05C2">
        <w:rPr>
          <w:color w:val="0070C0"/>
        </w:rPr>
        <w:t>ecosistemelor și a oamenilor. Se bazează pe procese ecologice, biodiversitate și cicluri adaptate la</w:t>
      </w:r>
      <w:r>
        <w:rPr>
          <w:color w:val="0070C0"/>
        </w:rPr>
        <w:t xml:space="preserve"> </w:t>
      </w:r>
      <w:r w:rsidRPr="000B05C2">
        <w:rPr>
          <w:color w:val="0070C0"/>
        </w:rPr>
        <w:t>condițiile locale în detrimentul utilizării input-urilor cu efecte adverse. Tehnologiile avansate la nivel</w:t>
      </w:r>
      <w:r>
        <w:rPr>
          <w:color w:val="0070C0"/>
        </w:rPr>
        <w:t xml:space="preserve"> </w:t>
      </w:r>
      <w:r w:rsidRPr="000B05C2">
        <w:rPr>
          <w:color w:val="0070C0"/>
        </w:rPr>
        <w:t>de complex ecosistemic contribuie la dezvoltarea sectoarelor forestier, cinegetic, agrosilvic și agroecologic.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1.4 Agricultura 4.0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Agricultura 4.0 reprezintă noua revoluție agricolă, integrând agricultura de precizie, robotica, aplicații</w:t>
      </w:r>
      <w:r>
        <w:rPr>
          <w:color w:val="0070C0"/>
        </w:rPr>
        <w:t xml:space="preserve"> </w:t>
      </w:r>
      <w:r w:rsidRPr="000B05C2">
        <w:rPr>
          <w:color w:val="0070C0"/>
        </w:rPr>
        <w:t>ale IoT, big data, blockchain, inteligenței artificiale și ale tehnologiilor de imagistică a plantelor. Acest</w:t>
      </w:r>
      <w:r>
        <w:rPr>
          <w:color w:val="0070C0"/>
        </w:rPr>
        <w:t xml:space="preserve"> </w:t>
      </w:r>
      <w:r w:rsidRPr="000B05C2">
        <w:rPr>
          <w:color w:val="0070C0"/>
        </w:rPr>
        <w:t>progres tehnologic va conduce la implementarea unor procese specifice mai eficiente, sigure și</w:t>
      </w:r>
      <w:r>
        <w:rPr>
          <w:color w:val="0070C0"/>
        </w:rPr>
        <w:t xml:space="preserve"> </w:t>
      </w:r>
      <w:r w:rsidRPr="000B05C2">
        <w:rPr>
          <w:color w:val="0070C0"/>
        </w:rPr>
        <w:t>prietenoase cu mediul și la o valorificare mai bună a resurselor disponibile.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1.5 Alimente sigure și durabile pentru o dietă sănătoasă</w:t>
      </w:r>
    </w:p>
    <w:p w:rsid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dezvoltarea de alimente durabile bazate pe concepte dietetice sănătoase, conforme cu</w:t>
      </w:r>
      <w:r>
        <w:rPr>
          <w:color w:val="0070C0"/>
        </w:rPr>
        <w:t xml:space="preserve"> </w:t>
      </w:r>
      <w:r w:rsidRPr="000B05C2">
        <w:rPr>
          <w:color w:val="0070C0"/>
        </w:rPr>
        <w:t>nevoile nutriționale/ senzoriale ale consumatorilor, cu normele de calitate și legate de stilul de viață</w:t>
      </w:r>
      <w:r>
        <w:rPr>
          <w:color w:val="0070C0"/>
        </w:rPr>
        <w:t xml:space="preserve"> </w:t>
      </w:r>
      <w:r w:rsidRPr="000B05C2">
        <w:rPr>
          <w:color w:val="0070C0"/>
        </w:rPr>
        <w:t>local. Urmărește echilibrul între cerere și resurse, prin (1) dezvoltarea de alimente reformulate din</w:t>
      </w:r>
      <w:r>
        <w:rPr>
          <w:color w:val="0070C0"/>
        </w:rPr>
        <w:t xml:space="preserve"> </w:t>
      </w:r>
      <w:r w:rsidRPr="000B05C2">
        <w:rPr>
          <w:color w:val="0070C0"/>
        </w:rPr>
        <w:t>punct de vedere compozițional în scopul combaterii bolilor de nutriție/obezității, (2) valorificarea de</w:t>
      </w:r>
      <w:r>
        <w:rPr>
          <w:color w:val="0070C0"/>
        </w:rPr>
        <w:t xml:space="preserve"> </w:t>
      </w:r>
      <w:r w:rsidRPr="000B05C2">
        <w:rPr>
          <w:color w:val="0070C0"/>
        </w:rPr>
        <w:t>materii prime autohtone/provenite din culturi ecologice, și (3) dezvoltarea de sisteme de autenticitate</w:t>
      </w:r>
      <w:r>
        <w:rPr>
          <w:color w:val="0070C0"/>
        </w:rPr>
        <w:t xml:space="preserve"> </w:t>
      </w:r>
      <w:r w:rsidRPr="000B05C2">
        <w:rPr>
          <w:color w:val="0070C0"/>
        </w:rPr>
        <w:t>și siguranță alimentară. Parte a acestui demers, foodomics permite conectivitatea dintre alimente,</w:t>
      </w:r>
      <w:r>
        <w:rPr>
          <w:color w:val="0070C0"/>
        </w:rPr>
        <w:t xml:space="preserve"> </w:t>
      </w:r>
      <w:r w:rsidRPr="000B05C2">
        <w:rPr>
          <w:color w:val="0070C0"/>
        </w:rPr>
        <w:t>dietă, sănătatea individului, prin aplicarea unor abordări „omice” precum genomica, transcriptomica,</w:t>
      </w:r>
      <w:r>
        <w:rPr>
          <w:color w:val="0070C0"/>
        </w:rPr>
        <w:t xml:space="preserve"> </w:t>
      </w:r>
      <w:r w:rsidRPr="000B05C2">
        <w:rPr>
          <w:color w:val="0070C0"/>
        </w:rPr>
        <w:t>proteomica și metabolomica, epigenomica, lipidomica, interactivomica, metalomica și/sau</w:t>
      </w:r>
      <w:r>
        <w:rPr>
          <w:color w:val="0070C0"/>
        </w:rPr>
        <w:t xml:space="preserve"> </w:t>
      </w:r>
      <w:r w:rsidRPr="000B05C2">
        <w:rPr>
          <w:color w:val="0070C0"/>
        </w:rPr>
        <w:t>diseasomica.</w:t>
      </w:r>
    </w:p>
    <w:p w:rsidR="000B05C2" w:rsidRPr="000B05C2" w:rsidRDefault="000B05C2" w:rsidP="00466EB4">
      <w:pPr>
        <w:rPr>
          <w:color w:val="0070C0"/>
        </w:rPr>
      </w:pPr>
    </w:p>
    <w:p w:rsidR="000B05C2" w:rsidRPr="000B05C2" w:rsidRDefault="000B05C2" w:rsidP="00466EB4">
      <w:pPr>
        <w:rPr>
          <w:color w:val="0070C0"/>
        </w:rPr>
      </w:pPr>
      <w:r w:rsidRPr="00466EB4">
        <w:rPr>
          <w:b/>
          <w:color w:val="0070C0"/>
        </w:rPr>
        <w:t>2. Economie digitală și tehnologii spațiale</w:t>
      </w:r>
    </w:p>
    <w:p w:rsidR="000B05C2" w:rsidRPr="00466EB4" w:rsidRDefault="000B05C2" w:rsidP="00466EB4">
      <w:pPr>
        <w:rPr>
          <w:b/>
          <w:color w:val="0070C0"/>
        </w:rPr>
      </w:pPr>
      <w:r w:rsidRPr="00466EB4">
        <w:rPr>
          <w:b/>
          <w:color w:val="0070C0"/>
        </w:rPr>
        <w:t>2.1 Dispozitive și sisteme microelectronice pentru produse inteligente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dispozitive și circuite integrate, inclusiv bazate pe efecte cuantice, senzori inteligenți, lab-ona chip și microsisteme. Domeniul este focalizat pe soluții inovative în proiectarea, implementarea,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testarea și caracterizarea circuitelor integrate, dispozitivelor și sistemelor microelectronice destinate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dezvoltării produselor inteligente.</w:t>
      </w:r>
    </w:p>
    <w:p w:rsidR="000B05C2" w:rsidRPr="002D2873" w:rsidRDefault="000B05C2" w:rsidP="00466EB4">
      <w:pPr>
        <w:rPr>
          <w:b/>
          <w:color w:val="0070C0"/>
        </w:rPr>
      </w:pPr>
      <w:r w:rsidRPr="002D2873">
        <w:rPr>
          <w:b/>
          <w:color w:val="0070C0"/>
        </w:rPr>
        <w:t>2.2 Rețelele viitorului, comunicații, internetul lucrurilor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Cuprinde aplicații bazate pe rețele de senzori inteligenți, Internetul lucrurilor și formele asociate de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calcul distribuit („fog” sau „edge”), precum și integrarea acestora cu tehnologiile geospațiale, în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domenii diverse precum: prevenția și reacția rapidă la dezastre naturale, orașul inteligent,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comunicarea vehicul-vehicul, monitorizarea pacienților etc.</w:t>
      </w:r>
    </w:p>
    <w:p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2.3 Tehnologii pentru economia spațială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Economia spațială implică tehnologii inovative din mecanică, mecatronică, robotică, electronică,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comunicații, IT, biologie și medicină, materiale, aplicații radio, THz, IR, UV la X și gamma, etc. și are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un rol cheie în securitatea națională, managementul dezastrelor, protecția mediului, reziliența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comunicațiilor, traficul aerian, maritim și terestru etc. Aceasta include și tehnologiile de operare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robotică pentru noua generație de vehicule de explorare a spațiului.</w:t>
      </w:r>
    </w:p>
    <w:p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2.4 Tehnologii XR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Cuprinde aplicații complexe ale tehnologiilor imersive, precum realitate virtuală, realitate augmentată,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interfața creier-calculator („Brain-Machine Interface” - BMI) pentru domeniile: cultural, educațional,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industrial, terapeutic și medical, servicii (de divertisment, retail etc.)</w:t>
      </w:r>
      <w:r w:rsidR="00DA6B9E">
        <w:rPr>
          <w:color w:val="0070C0"/>
        </w:rPr>
        <w:t>.</w:t>
      </w:r>
    </w:p>
    <w:p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2.5 Sisteme de inteligență artificială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tehnicile inteligenței artificiale și aplicațiile acestora precum prelucrarea limbajului, vederea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computerizată, predicția evoluției unor fenomene, sistemele de recomandare etc. O atenție deosebită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se va acorda sistemelor de inteligență artificială de încredere, definite ca sisteme tehnic robuste,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sigure, transparente, capabile să explice deciziile luate și care să asigure nediscriminare, diversitate,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echitate, co</w:t>
      </w:r>
      <w:r w:rsidR="00DA6B9E">
        <w:rPr>
          <w:color w:val="0070C0"/>
        </w:rPr>
        <w:t>ntribuind la bunăstarea socială</w:t>
      </w:r>
      <w:r w:rsidRPr="000B05C2">
        <w:rPr>
          <w:color w:val="0070C0"/>
        </w:rPr>
        <w:t>.</w:t>
      </w:r>
    </w:p>
    <w:p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2.6 Securitate cibernetică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Securitatea cibernetică vizează protejarea sistemelor și a rețelelor informatice și gestiunea riscurilor,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în contextul extinderii frontului vulnerabilităților ca urmare a digitalizării rapide și a importanței datelor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ca resursa fundamentală în economie și cercetare. Inovarea în securitatea cibernetică include soluții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pentru automatizarea profilării vulnerabilităților și a adresării atacurilor, protejarea fluxurilor de date,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managementul identităților, recuperarea în situații de atac și educarea utilizatorilor.</w:t>
      </w:r>
    </w:p>
    <w:p w:rsidR="000B05C2" w:rsidRPr="003D79D1" w:rsidRDefault="000B05C2" w:rsidP="00466EB4">
      <w:pPr>
        <w:rPr>
          <w:b/>
          <w:color w:val="0070C0"/>
        </w:rPr>
      </w:pPr>
      <w:r w:rsidRPr="003D79D1">
        <w:rPr>
          <w:b/>
          <w:color w:val="0070C0"/>
        </w:rPr>
        <w:t>2.7 Tehnologii pentru trasabilitate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Cuprinde aplicații ale tehnologiilor disruptive precum blockchain, inteligența artificială, internetul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lucrurilor și platforme colaborative, prin care se asigură trasabilitatea bunurilor diverse, permițând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garantarea autenticității, transparentizarea și eficientizarea lanțurilor de valoare adăugată.</w:t>
      </w:r>
    </w:p>
    <w:p w:rsidR="00C26DEA" w:rsidRDefault="00C26DEA" w:rsidP="00466EB4">
      <w:pPr>
        <w:rPr>
          <w:b/>
          <w:color w:val="0070C0"/>
        </w:rPr>
      </w:pPr>
    </w:p>
    <w:p w:rsidR="00D541EB" w:rsidRDefault="00D541EB" w:rsidP="00466EB4">
      <w:pPr>
        <w:rPr>
          <w:b/>
          <w:color w:val="0070C0"/>
        </w:rPr>
      </w:pPr>
    </w:p>
    <w:p w:rsidR="000B05C2" w:rsidRPr="003D79D1" w:rsidRDefault="000B05C2" w:rsidP="00466EB4">
      <w:pPr>
        <w:rPr>
          <w:b/>
          <w:color w:val="0070C0"/>
        </w:rPr>
      </w:pPr>
      <w:r w:rsidRPr="003D79D1">
        <w:rPr>
          <w:b/>
          <w:color w:val="0070C0"/>
        </w:rPr>
        <w:lastRenderedPageBreak/>
        <w:t>2.8 Roboți și agenți cognitivi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Robotica cognitivă vizează înzestrarea roboților cu inteligență artificială, permițându-le să învețe și să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răspundă la situații diverse din lumea reală. Funcțiile unui robot inteligent includ, de exemplu: vedere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artificială, recunoaștere automată a vorbirii, sinteza automată a vorbirii, anticipare și planificare,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mișcare autonomă, imitația morfo-funcțională umană, capacitatea de învățare, abilitatea de a explora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pe cont propriu.</w:t>
      </w:r>
    </w:p>
    <w:p w:rsidR="000B05C2" w:rsidRPr="003D79D1" w:rsidRDefault="000B05C2" w:rsidP="00466EB4">
      <w:pPr>
        <w:rPr>
          <w:b/>
          <w:color w:val="0070C0"/>
        </w:rPr>
      </w:pPr>
      <w:r w:rsidRPr="003D79D1">
        <w:rPr>
          <w:b/>
          <w:color w:val="0070C0"/>
        </w:rPr>
        <w:t>3. Energie și mobilitate</w:t>
      </w:r>
    </w:p>
    <w:p w:rsidR="000B05C2" w:rsidRPr="00ED300F" w:rsidRDefault="000B05C2" w:rsidP="00466EB4">
      <w:pPr>
        <w:rPr>
          <w:b/>
          <w:color w:val="0070C0"/>
        </w:rPr>
      </w:pPr>
      <w:r w:rsidRPr="00ED300F">
        <w:rPr>
          <w:b/>
          <w:color w:val="0070C0"/>
        </w:rPr>
        <w:t>3.1 Mobilitate verde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vehicule electrice și hibride, inclusiv bazate pe hidrogen, pentru toate tipurile de transport,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>precum și: componente ale sistemelor de propulsie și cele auxiliare acestora; sisteme de stocare a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>energiei și de management energetic pentru acestea; utilizarea în comun și integrarea acestor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>vehicule în orașe inteligente; soluțiile de interoperabilitate și intermodalitate în transport.</w:t>
      </w:r>
    </w:p>
    <w:p w:rsidR="000B05C2" w:rsidRPr="00ED300F" w:rsidRDefault="000B05C2" w:rsidP="00466EB4">
      <w:pPr>
        <w:rPr>
          <w:b/>
          <w:color w:val="0070C0"/>
        </w:rPr>
      </w:pPr>
      <w:r w:rsidRPr="00ED300F">
        <w:rPr>
          <w:b/>
          <w:color w:val="0070C0"/>
        </w:rPr>
        <w:t>3.2 Tehnologii moderne de generare a energiei cu emisii scăzute sau zero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Tehnologii și sisteme de conversie a energiei din surse regenerabile de energie (hidraulică, eoliană,</w:t>
      </w:r>
      <w:r w:rsidR="00233E33">
        <w:rPr>
          <w:color w:val="0070C0"/>
        </w:rPr>
        <w:t xml:space="preserve"> </w:t>
      </w:r>
      <w:r w:rsidRPr="000B05C2">
        <w:rPr>
          <w:color w:val="0070C0"/>
        </w:rPr>
        <w:t>solară, biomasă, geotermală), valorificarea energetică a hidrogenului, utilizarea energiei nucleare,</w:t>
      </w:r>
      <w:r w:rsidR="00233E33">
        <w:rPr>
          <w:color w:val="0070C0"/>
        </w:rPr>
        <w:t xml:space="preserve"> </w:t>
      </w:r>
      <w:r w:rsidRPr="000B05C2">
        <w:rPr>
          <w:color w:val="0070C0"/>
        </w:rPr>
        <w:t>valorificarea energetică cu emisii scăzute a cărbunelui și a gazelor naturale.</w:t>
      </w:r>
    </w:p>
    <w:p w:rsidR="000B05C2" w:rsidRPr="00233E33" w:rsidRDefault="000B05C2" w:rsidP="00466EB4">
      <w:pPr>
        <w:rPr>
          <w:b/>
          <w:color w:val="0070C0"/>
        </w:rPr>
      </w:pPr>
      <w:r w:rsidRPr="00233E33">
        <w:rPr>
          <w:b/>
          <w:color w:val="0070C0"/>
        </w:rPr>
        <w:t>3.3 Digitalizare în energie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Soluțiile digitale pentru monitorizarea și controlul sistemelor energetice, integrate între palierele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sectorului (producere, transport, distribuție, utilizare) vor facilita implementarea măsurilor pentru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creșterea eficienței energetice, sporirea flexibilității sistemului, prioritizarea consumului de energie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curată și optimizarea consumurilor la utilizatori. Digitalizarea permite implementarea unor funcții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tip Smart Grids la nivelul transportului și distribuției de energie electrică, dar și la cel al utilizatorilor.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3.4 Stocarea energiei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Stocarea energiei este principalul mijloc prin care se asigură creșterea ponderii surselor regenerabile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 energie. Sunt câteva elemente majore care impulsionează dezvoltarea tehnologiilor în zona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stocării energiei: eforturile de decarbonizare a sectoarelor economice, digitalizarea și descentralizarea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- în care consumatorii finali devin „actori” activi („pro-sumers”). Sistemele de stocare pot fi chimice,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cu potențial gravitațional, cu potențial electric, la temperatura ridicată, cu căldura latentă și de tip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cinetic.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 Fabricație avansată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4.1 Tehnologii de fabricație pentru industria aeronautică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Noi tehnologii de fabricație care răspund cerințelor pentru industria aerospațială în contextul „Green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Deal” și „Circular Aviation”. Tehnologiile vizează atât introducerea materialelor de nouă generație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(poli/multi-funcționale), cât și performanța pe întreg ciclul de producție-utilizare-reciclare.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4.2 Digitalizarea și robotizarea fabricației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aplicațiile industriale ale internetului lucrurilor, roboți industriali înzestrați cu inteligență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artificială, inclusiv roboți inteligenți autonomi pentru logistică.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4.3 Tehnologii avansate de fabricație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lastRenderedPageBreak/>
        <w:t>Include tehnologiile de fabricație aditivă, cu materiale organice sau anorganice, și alte tehnologii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fabricație de precizie, precum – de exemplu: prelucrări tehnologice cu laser (sudură, sinterizare,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acoperire), mașini unelte cu toleranță micronică, etc.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 Materiale funcționale avansate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5.1 Optoelectronica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Vizează dispozitivele electronice care detectează, generează și controlează radiația electromagnetică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din spectrul ultraviolet, vizibil și infraroșu, incluzând cristalele fotonice și circuitele fotonice integrate.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Optoelectronica realizează legături între optică, electronică, senzori, comunicații, lab-on-chip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tehnologii cuantice și are aplicații în biologie, medicină, industria farmaceutică, chimia și știința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materialelor, industria semiconductorilor.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5.2 Materiale compozite inteligente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Materialele compozite inteligente sunt responsive la stimuli externi precum stres mecanic, câmpuri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magnetice/electrice, lumină, temperatură, pH, umiditate, componente chimice. Au aplicații în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construcții (materiale și finisaje durabile cu proprietăți de autoreparare, autocurățare, materiale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fotoactive, cromoactive, cu senzori încorporați), în industria textilă (textile cu proprietăți antibacteriene,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 autoadaptare), pentru electronice/comunicații, actuatori/senzori, dispozitive medicale (mușchi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artificiali, pansamente inteligente).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5.3 Materiale reciclabile și tehnologii pentru reciclarea materialelor</w:t>
      </w:r>
      <w:bookmarkStart w:id="0" w:name="_GoBack"/>
      <w:bookmarkEnd w:id="0"/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Domeniul vizează proiectarea și dezvoltarea de materiale care să conducă – în contextul utilizării lor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în economie - la implementarea unor procese și tehnologii de reciclare eficiente, cu consum mic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energie și poluare limitată. Se urmărește astfel inclusiv reducerea dependenței de materiile prime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critice, prin dezvoltarea de soluții alternative green și sustenabile pe termen mediu și lung.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5.4 Materiale pentru aplicații electronice, electrice, fotonice, magnetice și în senzoristică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materiale, inclusiv bioinspirate, pentru componente electrice și electronice, senzori inteligenți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(inclusiv biochimici, chimici și electrochimici), dispozitive micro- și nanoelectronice, componente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sisteme fotonice, dispozitive cuantice, dispozitive pentru recuperarea energiei, precum și tehnologii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 integrare a acestora în aplicații din inginerie, telecomunicații, tehnologia informației, spațiu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securitate, tehnologii cuantice, biochimie, medicină.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5.5 Materiale biocompatibile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Vizează proiectarea, modelarea, fabricarea și caracterizarea materialelor avansate, inteligente, înalt</w:t>
      </w:r>
      <w:r w:rsidR="002B4428">
        <w:rPr>
          <w:color w:val="0070C0"/>
        </w:rPr>
        <w:t xml:space="preserve"> </w:t>
      </w:r>
      <w:r w:rsidRPr="000B05C2">
        <w:rPr>
          <w:color w:val="0070C0"/>
        </w:rPr>
        <w:t>funcționale și dezvoltările în ingineria suprafeței, pentru aplicații bioinspirate și biomimetice în sectorul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medical precum: dispozitive implantabile, medicina regenerativă/personalizată/de precizie, sisteme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de eliberare controlată, diagnostic (inclusiv bio-imagistică), platforme teranostice, biosenzori,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bio(nano)tehnologii, soluții în imunologie și cosmetică.</w:t>
      </w:r>
    </w:p>
    <w:p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>5.6 Materiale pentru energie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materialele pentru panouri fotovoltaice, baterii, celule de combustie, materialele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superconductoare, acoperiririle superhidrofobe, materialele termoizolante și alte materiale inovatoare,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cu funcționalitate sporită în domeniul producerii, stocării și transportului energiei.</w:t>
      </w:r>
    </w:p>
    <w:p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>6. Mediu și eco-tehnologii</w:t>
      </w:r>
    </w:p>
    <w:p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>6.1 Tehnologii pentru gestionarea, monitorizarea și depoluarea mediului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lastRenderedPageBreak/>
        <w:t>Include tehnologiile de monitorizare a mediului (inclusiv prin rețele de senzori și date satelitare),</w:t>
      </w:r>
      <w:r w:rsidR="00F54867">
        <w:rPr>
          <w:color w:val="0070C0"/>
        </w:rPr>
        <w:t xml:space="preserve"> </w:t>
      </w:r>
      <w:r w:rsidRPr="000B05C2">
        <w:rPr>
          <w:color w:val="0070C0"/>
        </w:rPr>
        <w:t>precum și cele menite să îmbunătățească calitatea aerului, apelor, solului și a sistemelor biologice</w:t>
      </w:r>
      <w:r w:rsidR="00F54867">
        <w:rPr>
          <w:color w:val="0070C0"/>
        </w:rPr>
        <w:t xml:space="preserve"> </w:t>
      </w:r>
      <w:r w:rsidRPr="000B05C2">
        <w:rPr>
          <w:color w:val="0070C0"/>
        </w:rPr>
        <w:t>complexe și să permită gestionarea rapidă și eficientă a situațiilor de contaminare.</w:t>
      </w:r>
    </w:p>
    <w:p w:rsidR="000B05C2" w:rsidRPr="00F54867" w:rsidRDefault="000B05C2" w:rsidP="00466EB4">
      <w:pPr>
        <w:rPr>
          <w:b/>
          <w:color w:val="0070C0"/>
        </w:rPr>
      </w:pPr>
      <w:r w:rsidRPr="00F54867">
        <w:rPr>
          <w:b/>
          <w:color w:val="0070C0"/>
        </w:rPr>
        <w:t>6.2 Tehnologii pentru economia circulară</w:t>
      </w:r>
    </w:p>
    <w:p w:rsidR="00B2391B" w:rsidRPr="00093E54" w:rsidRDefault="000B05C2" w:rsidP="00466EB4">
      <w:pPr>
        <w:rPr>
          <w:color w:val="0070C0"/>
        </w:rPr>
      </w:pPr>
      <w:r w:rsidRPr="000B05C2">
        <w:rPr>
          <w:color w:val="0070C0"/>
        </w:rPr>
        <w:t>Include tehnologiile pentru gestionarea deșeurilor (precum cele pentru colectarea și selectarea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optimizată, filtrarea apei, reprocesarea biologică, valorificarea deșeurilor în energie, piroliză etc) și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ansamblul soluțiilor care contribuie la reducerea deșeurilor și creșterea gradului de reciclare în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lanțurile valorice asociate produselor electronice, bateriilor, ambalajelor, materialelor plastice,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produselor textile, construcțiilor, alimentelor ș.a.</w:t>
      </w:r>
      <w:r w:rsidRPr="000B05C2">
        <w:rPr>
          <w:color w:val="0070C0"/>
        </w:rPr>
        <w:cr/>
      </w:r>
    </w:p>
    <w:sectPr w:rsidR="00B2391B" w:rsidRPr="00093E54" w:rsidSect="00466EB4">
      <w:pgSz w:w="11906" w:h="16838" w:code="9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A5E" w:rsidRDefault="00515A5E" w:rsidP="002C069A">
      <w:pPr>
        <w:spacing w:line="240" w:lineRule="auto"/>
      </w:pPr>
      <w:r>
        <w:separator/>
      </w:r>
    </w:p>
  </w:endnote>
  <w:endnote w:type="continuationSeparator" w:id="0">
    <w:p w:rsidR="00515A5E" w:rsidRDefault="00515A5E" w:rsidP="002C06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A5E" w:rsidRDefault="00515A5E" w:rsidP="002C069A">
      <w:pPr>
        <w:spacing w:line="240" w:lineRule="auto"/>
      </w:pPr>
      <w:r>
        <w:separator/>
      </w:r>
    </w:p>
  </w:footnote>
  <w:footnote w:type="continuationSeparator" w:id="0">
    <w:p w:rsidR="00515A5E" w:rsidRDefault="00515A5E" w:rsidP="002C069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5C"/>
    <w:rsid w:val="00000960"/>
    <w:rsid w:val="00001BFA"/>
    <w:rsid w:val="00002D92"/>
    <w:rsid w:val="000479A1"/>
    <w:rsid w:val="00047D10"/>
    <w:rsid w:val="00055062"/>
    <w:rsid w:val="000604C8"/>
    <w:rsid w:val="00063D07"/>
    <w:rsid w:val="00065954"/>
    <w:rsid w:val="00071F60"/>
    <w:rsid w:val="0007669D"/>
    <w:rsid w:val="00076DA7"/>
    <w:rsid w:val="000775DF"/>
    <w:rsid w:val="0008164E"/>
    <w:rsid w:val="00093E54"/>
    <w:rsid w:val="00096950"/>
    <w:rsid w:val="00097CF5"/>
    <w:rsid w:val="000A7376"/>
    <w:rsid w:val="000B05C2"/>
    <w:rsid w:val="000B2C42"/>
    <w:rsid w:val="000D1A7F"/>
    <w:rsid w:val="000D7B8A"/>
    <w:rsid w:val="000E1079"/>
    <w:rsid w:val="000E4B7E"/>
    <w:rsid w:val="000F14DE"/>
    <w:rsid w:val="000F4E3C"/>
    <w:rsid w:val="001117B6"/>
    <w:rsid w:val="00112385"/>
    <w:rsid w:val="001140EF"/>
    <w:rsid w:val="00124262"/>
    <w:rsid w:val="00132F82"/>
    <w:rsid w:val="0013432B"/>
    <w:rsid w:val="001432B7"/>
    <w:rsid w:val="0014699F"/>
    <w:rsid w:val="00150B91"/>
    <w:rsid w:val="001530EC"/>
    <w:rsid w:val="00153C07"/>
    <w:rsid w:val="0015412E"/>
    <w:rsid w:val="001932D1"/>
    <w:rsid w:val="001C2E68"/>
    <w:rsid w:val="001C71E6"/>
    <w:rsid w:val="001D423F"/>
    <w:rsid w:val="00205AA2"/>
    <w:rsid w:val="00207620"/>
    <w:rsid w:val="00221019"/>
    <w:rsid w:val="00221870"/>
    <w:rsid w:val="00233E33"/>
    <w:rsid w:val="00243ECE"/>
    <w:rsid w:val="002541E4"/>
    <w:rsid w:val="0026092D"/>
    <w:rsid w:val="00260EF3"/>
    <w:rsid w:val="00282086"/>
    <w:rsid w:val="00282FD3"/>
    <w:rsid w:val="002B051B"/>
    <w:rsid w:val="002B4428"/>
    <w:rsid w:val="002B45B9"/>
    <w:rsid w:val="002C069A"/>
    <w:rsid w:val="002D1A34"/>
    <w:rsid w:val="002D2873"/>
    <w:rsid w:val="002F258D"/>
    <w:rsid w:val="002F359A"/>
    <w:rsid w:val="0030186D"/>
    <w:rsid w:val="003041F7"/>
    <w:rsid w:val="00312A74"/>
    <w:rsid w:val="0032580E"/>
    <w:rsid w:val="00325E2F"/>
    <w:rsid w:val="00365BD9"/>
    <w:rsid w:val="00370C73"/>
    <w:rsid w:val="0037575B"/>
    <w:rsid w:val="00383741"/>
    <w:rsid w:val="00396D34"/>
    <w:rsid w:val="003B2704"/>
    <w:rsid w:val="003C05C1"/>
    <w:rsid w:val="003C60A9"/>
    <w:rsid w:val="003D3882"/>
    <w:rsid w:val="003D517E"/>
    <w:rsid w:val="003D79D1"/>
    <w:rsid w:val="003E4CA0"/>
    <w:rsid w:val="003E4CA1"/>
    <w:rsid w:val="003E734F"/>
    <w:rsid w:val="004009C3"/>
    <w:rsid w:val="00402CA0"/>
    <w:rsid w:val="00415D38"/>
    <w:rsid w:val="00437D9C"/>
    <w:rsid w:val="004436D7"/>
    <w:rsid w:val="004446B0"/>
    <w:rsid w:val="00466EB4"/>
    <w:rsid w:val="004820A9"/>
    <w:rsid w:val="0048251A"/>
    <w:rsid w:val="004A2E02"/>
    <w:rsid w:val="004A3BE9"/>
    <w:rsid w:val="004B06B5"/>
    <w:rsid w:val="004B5114"/>
    <w:rsid w:val="004C7CAC"/>
    <w:rsid w:val="004D6579"/>
    <w:rsid w:val="00505815"/>
    <w:rsid w:val="00505936"/>
    <w:rsid w:val="005075BE"/>
    <w:rsid w:val="0051225F"/>
    <w:rsid w:val="00515A5E"/>
    <w:rsid w:val="00523560"/>
    <w:rsid w:val="00544EFF"/>
    <w:rsid w:val="00546C1B"/>
    <w:rsid w:val="005555F1"/>
    <w:rsid w:val="00566E57"/>
    <w:rsid w:val="005A1197"/>
    <w:rsid w:val="005A7B8C"/>
    <w:rsid w:val="005B0A65"/>
    <w:rsid w:val="005B7579"/>
    <w:rsid w:val="005D3D77"/>
    <w:rsid w:val="006022A1"/>
    <w:rsid w:val="00602F8D"/>
    <w:rsid w:val="006033D6"/>
    <w:rsid w:val="00610153"/>
    <w:rsid w:val="00611929"/>
    <w:rsid w:val="006161C6"/>
    <w:rsid w:val="00625048"/>
    <w:rsid w:val="006432D1"/>
    <w:rsid w:val="00657545"/>
    <w:rsid w:val="00673A50"/>
    <w:rsid w:val="00673AC5"/>
    <w:rsid w:val="00675F41"/>
    <w:rsid w:val="00683DFB"/>
    <w:rsid w:val="006A1CA2"/>
    <w:rsid w:val="006A74DA"/>
    <w:rsid w:val="006B5383"/>
    <w:rsid w:val="006B7861"/>
    <w:rsid w:val="006C3100"/>
    <w:rsid w:val="006D4E7F"/>
    <w:rsid w:val="006D55A7"/>
    <w:rsid w:val="006E2122"/>
    <w:rsid w:val="006F7A02"/>
    <w:rsid w:val="007114FF"/>
    <w:rsid w:val="00716FCF"/>
    <w:rsid w:val="00717640"/>
    <w:rsid w:val="0072184C"/>
    <w:rsid w:val="0072591F"/>
    <w:rsid w:val="00732B4A"/>
    <w:rsid w:val="007339ED"/>
    <w:rsid w:val="00755044"/>
    <w:rsid w:val="00756C52"/>
    <w:rsid w:val="00757FF5"/>
    <w:rsid w:val="00766E07"/>
    <w:rsid w:val="00767A38"/>
    <w:rsid w:val="00795EFB"/>
    <w:rsid w:val="00797B53"/>
    <w:rsid w:val="007A23EA"/>
    <w:rsid w:val="007A53B4"/>
    <w:rsid w:val="007B2C4C"/>
    <w:rsid w:val="007B2EE3"/>
    <w:rsid w:val="007F729F"/>
    <w:rsid w:val="00800313"/>
    <w:rsid w:val="00836CC9"/>
    <w:rsid w:val="00837AE1"/>
    <w:rsid w:val="0086157E"/>
    <w:rsid w:val="00872494"/>
    <w:rsid w:val="008844EA"/>
    <w:rsid w:val="00891CBC"/>
    <w:rsid w:val="00891EC1"/>
    <w:rsid w:val="008B0FED"/>
    <w:rsid w:val="008B45C0"/>
    <w:rsid w:val="008C1746"/>
    <w:rsid w:val="008C3C7C"/>
    <w:rsid w:val="008C5F6B"/>
    <w:rsid w:val="008C6007"/>
    <w:rsid w:val="008D5860"/>
    <w:rsid w:val="008D5BAB"/>
    <w:rsid w:val="008D5C17"/>
    <w:rsid w:val="008E17D0"/>
    <w:rsid w:val="008E4C87"/>
    <w:rsid w:val="008E7AC5"/>
    <w:rsid w:val="00903AFC"/>
    <w:rsid w:val="00903C4E"/>
    <w:rsid w:val="00916EA1"/>
    <w:rsid w:val="0093245C"/>
    <w:rsid w:val="00933139"/>
    <w:rsid w:val="0093386C"/>
    <w:rsid w:val="00950540"/>
    <w:rsid w:val="009519B9"/>
    <w:rsid w:val="00961438"/>
    <w:rsid w:val="0096652A"/>
    <w:rsid w:val="00974B15"/>
    <w:rsid w:val="00976A4B"/>
    <w:rsid w:val="0098376A"/>
    <w:rsid w:val="00994483"/>
    <w:rsid w:val="009A2059"/>
    <w:rsid w:val="009D4380"/>
    <w:rsid w:val="009E53B2"/>
    <w:rsid w:val="009E73E0"/>
    <w:rsid w:val="009E7685"/>
    <w:rsid w:val="00A17674"/>
    <w:rsid w:val="00A27C45"/>
    <w:rsid w:val="00A31B32"/>
    <w:rsid w:val="00A54B94"/>
    <w:rsid w:val="00A679DD"/>
    <w:rsid w:val="00A74116"/>
    <w:rsid w:val="00A907EB"/>
    <w:rsid w:val="00A92DB2"/>
    <w:rsid w:val="00A95094"/>
    <w:rsid w:val="00AA6A45"/>
    <w:rsid w:val="00AA7594"/>
    <w:rsid w:val="00AB640A"/>
    <w:rsid w:val="00AB76A3"/>
    <w:rsid w:val="00AC3651"/>
    <w:rsid w:val="00AD09F9"/>
    <w:rsid w:val="00AD17B3"/>
    <w:rsid w:val="00AD704D"/>
    <w:rsid w:val="00AF4FBC"/>
    <w:rsid w:val="00AF745F"/>
    <w:rsid w:val="00B01EA8"/>
    <w:rsid w:val="00B2391B"/>
    <w:rsid w:val="00B3198F"/>
    <w:rsid w:val="00B328DE"/>
    <w:rsid w:val="00B40758"/>
    <w:rsid w:val="00B51C76"/>
    <w:rsid w:val="00B64592"/>
    <w:rsid w:val="00B6782F"/>
    <w:rsid w:val="00B84799"/>
    <w:rsid w:val="00B91AF7"/>
    <w:rsid w:val="00BA16BE"/>
    <w:rsid w:val="00BA6BDF"/>
    <w:rsid w:val="00BA6E6B"/>
    <w:rsid w:val="00BF0D04"/>
    <w:rsid w:val="00BF4360"/>
    <w:rsid w:val="00BF6FDC"/>
    <w:rsid w:val="00C00424"/>
    <w:rsid w:val="00C0502B"/>
    <w:rsid w:val="00C14708"/>
    <w:rsid w:val="00C26DEA"/>
    <w:rsid w:val="00C27E0C"/>
    <w:rsid w:val="00C35ACA"/>
    <w:rsid w:val="00C43EA1"/>
    <w:rsid w:val="00C45354"/>
    <w:rsid w:val="00C47FF5"/>
    <w:rsid w:val="00C521A8"/>
    <w:rsid w:val="00C5272F"/>
    <w:rsid w:val="00C542E3"/>
    <w:rsid w:val="00C705B0"/>
    <w:rsid w:val="00C71FCE"/>
    <w:rsid w:val="00C733DB"/>
    <w:rsid w:val="00C73810"/>
    <w:rsid w:val="00C811B5"/>
    <w:rsid w:val="00C84F07"/>
    <w:rsid w:val="00CA1C49"/>
    <w:rsid w:val="00CA3055"/>
    <w:rsid w:val="00CC0BED"/>
    <w:rsid w:val="00CC64C9"/>
    <w:rsid w:val="00CE4E96"/>
    <w:rsid w:val="00CF65FD"/>
    <w:rsid w:val="00D02FC4"/>
    <w:rsid w:val="00D0461E"/>
    <w:rsid w:val="00D06D7E"/>
    <w:rsid w:val="00D27351"/>
    <w:rsid w:val="00D3125D"/>
    <w:rsid w:val="00D37511"/>
    <w:rsid w:val="00D51A55"/>
    <w:rsid w:val="00D541EB"/>
    <w:rsid w:val="00D60147"/>
    <w:rsid w:val="00D66425"/>
    <w:rsid w:val="00D669B8"/>
    <w:rsid w:val="00D67E53"/>
    <w:rsid w:val="00D745AC"/>
    <w:rsid w:val="00D80AA0"/>
    <w:rsid w:val="00DA6B9E"/>
    <w:rsid w:val="00DB36CE"/>
    <w:rsid w:val="00DC71CA"/>
    <w:rsid w:val="00DF073C"/>
    <w:rsid w:val="00E143D4"/>
    <w:rsid w:val="00E2520F"/>
    <w:rsid w:val="00E278D5"/>
    <w:rsid w:val="00E3408D"/>
    <w:rsid w:val="00E3497F"/>
    <w:rsid w:val="00E40E07"/>
    <w:rsid w:val="00E57029"/>
    <w:rsid w:val="00E73451"/>
    <w:rsid w:val="00E820E6"/>
    <w:rsid w:val="00E83D2E"/>
    <w:rsid w:val="00E90E32"/>
    <w:rsid w:val="00EB466B"/>
    <w:rsid w:val="00EC5741"/>
    <w:rsid w:val="00EC60C8"/>
    <w:rsid w:val="00ED0228"/>
    <w:rsid w:val="00ED2527"/>
    <w:rsid w:val="00ED300F"/>
    <w:rsid w:val="00ED7BD8"/>
    <w:rsid w:val="00EF3773"/>
    <w:rsid w:val="00F03AB4"/>
    <w:rsid w:val="00F14DA7"/>
    <w:rsid w:val="00F36143"/>
    <w:rsid w:val="00F41FF2"/>
    <w:rsid w:val="00F54867"/>
    <w:rsid w:val="00F55693"/>
    <w:rsid w:val="00F622D4"/>
    <w:rsid w:val="00F65A1C"/>
    <w:rsid w:val="00F67785"/>
    <w:rsid w:val="00F73592"/>
    <w:rsid w:val="00F830AF"/>
    <w:rsid w:val="00F9362C"/>
    <w:rsid w:val="00F94755"/>
    <w:rsid w:val="00FA4119"/>
    <w:rsid w:val="00FA4E7C"/>
    <w:rsid w:val="00FA5848"/>
    <w:rsid w:val="00FA706D"/>
    <w:rsid w:val="00FA7079"/>
    <w:rsid w:val="00FA7242"/>
    <w:rsid w:val="00FB2EA0"/>
    <w:rsid w:val="00FB5079"/>
    <w:rsid w:val="00FE0BDD"/>
    <w:rsid w:val="00FE2F4B"/>
    <w:rsid w:val="00FE31AD"/>
    <w:rsid w:val="00FF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A7C22"/>
  <w15:chartTrackingRefBased/>
  <w15:docId w15:val="{E373E252-BBBC-4B1A-B2CB-F7061EA8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61438"/>
    <w:pPr>
      <w:spacing w:before="160" w:after="0"/>
      <w:jc w:val="both"/>
    </w:pPr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DocExtern">
    <w:name w:val="ParagrafDocExtern"/>
    <w:link w:val="ParagrafDocExternChar"/>
    <w:qFormat/>
    <w:rsid w:val="0013432B"/>
    <w:pPr>
      <w:spacing w:before="60" w:after="0" w:line="264" w:lineRule="auto"/>
      <w:jc w:val="both"/>
    </w:pPr>
    <w:rPr>
      <w:rFonts w:ascii="Arial" w:hAnsi="Arial"/>
      <w:sz w:val="24"/>
      <w:szCs w:val="28"/>
    </w:rPr>
  </w:style>
  <w:style w:type="paragraph" w:customStyle="1" w:styleId="EnuntDocExtern">
    <w:name w:val="EnuntDocExtern"/>
    <w:link w:val="EnuntDocExternChar"/>
    <w:qFormat/>
    <w:rsid w:val="006022A1"/>
    <w:pPr>
      <w:spacing w:before="60" w:after="0" w:line="264" w:lineRule="auto"/>
      <w:ind w:left="709"/>
      <w:jc w:val="both"/>
    </w:pPr>
    <w:rPr>
      <w:rFonts w:ascii="Arial" w:hAnsi="Arial"/>
      <w:sz w:val="20"/>
    </w:rPr>
  </w:style>
  <w:style w:type="character" w:customStyle="1" w:styleId="ParagrafDocExternChar">
    <w:name w:val="ParagrafDocExtern Char"/>
    <w:basedOn w:val="DefaultParagraphFont"/>
    <w:link w:val="ParagrafDocExtern"/>
    <w:rsid w:val="0013432B"/>
    <w:rPr>
      <w:rFonts w:ascii="Arial" w:hAnsi="Arial"/>
      <w:sz w:val="24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2C069A"/>
    <w:pPr>
      <w:spacing w:line="240" w:lineRule="auto"/>
    </w:pPr>
    <w:rPr>
      <w:i/>
      <w:sz w:val="20"/>
      <w:szCs w:val="20"/>
    </w:rPr>
  </w:style>
  <w:style w:type="character" w:customStyle="1" w:styleId="EnuntDocExternChar">
    <w:name w:val="EnuntDocExtern Char"/>
    <w:basedOn w:val="DefaultParagraphFont"/>
    <w:link w:val="EnuntDocExtern"/>
    <w:rsid w:val="006022A1"/>
    <w:rPr>
      <w:rFonts w:ascii="Arial" w:hAnsi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069A"/>
    <w:rPr>
      <w:rFonts w:ascii="Arial" w:hAnsi="Arial"/>
      <w:i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06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069A"/>
    <w:pPr>
      <w:spacing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C069A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069A"/>
    <w:pPr>
      <w:tabs>
        <w:tab w:val="right" w:pos="-4962"/>
      </w:tabs>
      <w:spacing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069A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4F75B-A001-4AAC-B2B5-DBF9926A0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1987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PETRICA</dc:creator>
  <cp:keywords/>
  <dc:description/>
  <cp:lastModifiedBy>Steluta BULACEANU</cp:lastModifiedBy>
  <cp:revision>9</cp:revision>
  <dcterms:created xsi:type="dcterms:W3CDTF">2023-08-01T13:12:00Z</dcterms:created>
  <dcterms:modified xsi:type="dcterms:W3CDTF">2023-08-02T08:43:00Z</dcterms:modified>
</cp:coreProperties>
</file>